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D2" w:rsidRDefault="00176FA1">
      <w:pPr>
        <w:rPr>
          <w:b/>
        </w:rPr>
      </w:pPr>
      <w:r w:rsidRPr="00176FA1">
        <w:rPr>
          <w:b/>
        </w:rPr>
        <w:t>Candidate Site – Sustainability Appraisal</w:t>
      </w:r>
    </w:p>
    <w:p w:rsidR="007A6587" w:rsidRDefault="007A658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7A6587" w:rsidTr="007A6587">
        <w:tc>
          <w:tcPr>
            <w:tcW w:w="2660" w:type="dxa"/>
          </w:tcPr>
          <w:p w:rsidR="007A6587" w:rsidRDefault="007A6587">
            <w:pPr>
              <w:rPr>
                <w:b/>
              </w:rPr>
            </w:pPr>
            <w:r>
              <w:rPr>
                <w:b/>
              </w:rPr>
              <w:t>Site no.</w:t>
            </w:r>
          </w:p>
        </w:tc>
        <w:tc>
          <w:tcPr>
            <w:tcW w:w="6582" w:type="dxa"/>
          </w:tcPr>
          <w:p w:rsidR="007A6587" w:rsidRDefault="007A6587">
            <w:pPr>
              <w:rPr>
                <w:b/>
              </w:rPr>
            </w:pPr>
          </w:p>
        </w:tc>
      </w:tr>
      <w:tr w:rsidR="007A6587" w:rsidTr="007A6587">
        <w:tc>
          <w:tcPr>
            <w:tcW w:w="2660" w:type="dxa"/>
          </w:tcPr>
          <w:p w:rsidR="007A6587" w:rsidRDefault="007A6587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6582" w:type="dxa"/>
          </w:tcPr>
          <w:p w:rsidR="007A6587" w:rsidRDefault="007A6587">
            <w:pPr>
              <w:rPr>
                <w:b/>
              </w:rPr>
            </w:pPr>
          </w:p>
        </w:tc>
      </w:tr>
      <w:tr w:rsidR="007A6587" w:rsidTr="007A6587">
        <w:tc>
          <w:tcPr>
            <w:tcW w:w="2660" w:type="dxa"/>
          </w:tcPr>
          <w:p w:rsidR="007A6587" w:rsidRDefault="007A6587">
            <w:pPr>
              <w:rPr>
                <w:b/>
              </w:rPr>
            </w:pPr>
            <w:r>
              <w:rPr>
                <w:b/>
              </w:rPr>
              <w:t>Community Council Area:</w:t>
            </w:r>
          </w:p>
        </w:tc>
        <w:tc>
          <w:tcPr>
            <w:tcW w:w="6582" w:type="dxa"/>
          </w:tcPr>
          <w:p w:rsidR="007A6587" w:rsidRDefault="007A6587">
            <w:pPr>
              <w:rPr>
                <w:b/>
              </w:rPr>
            </w:pPr>
          </w:p>
        </w:tc>
      </w:tr>
      <w:tr w:rsidR="00F45AD3" w:rsidTr="007A6587">
        <w:tc>
          <w:tcPr>
            <w:tcW w:w="2660" w:type="dxa"/>
          </w:tcPr>
          <w:p w:rsidR="00F45AD3" w:rsidRDefault="00F45AD3">
            <w:pPr>
              <w:rPr>
                <w:b/>
              </w:rPr>
            </w:pPr>
            <w:r>
              <w:rPr>
                <w:b/>
              </w:rPr>
              <w:t>Proposed use:</w:t>
            </w:r>
          </w:p>
        </w:tc>
        <w:tc>
          <w:tcPr>
            <w:tcW w:w="6582" w:type="dxa"/>
          </w:tcPr>
          <w:p w:rsidR="00F45AD3" w:rsidRDefault="00F45AD3">
            <w:pPr>
              <w:rPr>
                <w:b/>
              </w:rPr>
            </w:pPr>
          </w:p>
        </w:tc>
      </w:tr>
    </w:tbl>
    <w:p w:rsidR="00176FA1" w:rsidRDefault="00176F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7076"/>
      </w:tblGrid>
      <w:tr w:rsidR="00176FA1" w:rsidTr="00012BA3">
        <w:tc>
          <w:tcPr>
            <w:tcW w:w="1172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176FA1" w:rsidRPr="00176FA1" w:rsidRDefault="00176FA1" w:rsidP="00012BA3">
            <w:pPr>
              <w:jc w:val="center"/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6FA1"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++</w:t>
            </w:r>
          </w:p>
        </w:tc>
        <w:tc>
          <w:tcPr>
            <w:tcW w:w="3828" w:type="pct"/>
            <w:shd w:val="clear" w:color="auto" w:fill="auto"/>
          </w:tcPr>
          <w:p w:rsidR="00176FA1" w:rsidRPr="00176FA1" w:rsidRDefault="00176FA1" w:rsidP="00012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FA1">
              <w:rPr>
                <w:rFonts w:ascii="Arial" w:hAnsi="Arial" w:cs="Arial"/>
                <w:sz w:val="20"/>
                <w:szCs w:val="20"/>
              </w:rPr>
              <w:t>There is a generally consistent strong positive association between the policy option and the Sustainability Objectives.</w:t>
            </w:r>
          </w:p>
        </w:tc>
      </w:tr>
      <w:tr w:rsidR="00176FA1" w:rsidTr="00012BA3">
        <w:tc>
          <w:tcPr>
            <w:tcW w:w="1172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76FA1" w:rsidRPr="00176FA1" w:rsidRDefault="00176FA1" w:rsidP="00012BA3">
            <w:pPr>
              <w:jc w:val="center"/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6FA1"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</w:p>
        </w:tc>
        <w:tc>
          <w:tcPr>
            <w:tcW w:w="3828" w:type="pct"/>
            <w:shd w:val="clear" w:color="auto" w:fill="auto"/>
          </w:tcPr>
          <w:p w:rsidR="00176FA1" w:rsidRPr="00176FA1" w:rsidRDefault="00176FA1" w:rsidP="00012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FA1">
              <w:rPr>
                <w:rFonts w:ascii="Arial" w:hAnsi="Arial" w:cs="Arial"/>
                <w:sz w:val="20"/>
                <w:szCs w:val="20"/>
              </w:rPr>
              <w:t>There is a weak or inconsistent, but generally positive association between the policy option and the Sustainability Objectives.</w:t>
            </w:r>
          </w:p>
        </w:tc>
      </w:tr>
      <w:tr w:rsidR="00176FA1" w:rsidTr="00012BA3">
        <w:tc>
          <w:tcPr>
            <w:tcW w:w="117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176FA1" w:rsidRPr="00176FA1" w:rsidRDefault="00176FA1" w:rsidP="00012BA3">
            <w:pPr>
              <w:jc w:val="center"/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6FA1"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3828" w:type="pct"/>
            <w:shd w:val="clear" w:color="auto" w:fill="auto"/>
          </w:tcPr>
          <w:p w:rsidR="00176FA1" w:rsidRPr="00176FA1" w:rsidRDefault="00176FA1" w:rsidP="00012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FA1">
              <w:rPr>
                <w:rFonts w:ascii="Arial" w:hAnsi="Arial" w:cs="Arial"/>
                <w:sz w:val="20"/>
                <w:szCs w:val="20"/>
              </w:rPr>
              <w:t>There is not a significant association between the policy option and the Sustainability Objectives, or the association is neutral (the combination +/- is used where it is believed a policy will have both positive and negative effects with regard to a particular Sustainability Objective).</w:t>
            </w:r>
          </w:p>
        </w:tc>
      </w:tr>
      <w:tr w:rsidR="00176FA1" w:rsidTr="00012BA3">
        <w:tc>
          <w:tcPr>
            <w:tcW w:w="1172" w:type="pct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76FA1" w:rsidRPr="00176FA1" w:rsidRDefault="00176FA1" w:rsidP="00012BA3">
            <w:pPr>
              <w:jc w:val="center"/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6FA1"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3828" w:type="pct"/>
            <w:shd w:val="clear" w:color="auto" w:fill="auto"/>
          </w:tcPr>
          <w:p w:rsidR="00176FA1" w:rsidRPr="00176FA1" w:rsidRDefault="00176FA1" w:rsidP="00012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FA1">
              <w:rPr>
                <w:rFonts w:ascii="Arial" w:hAnsi="Arial" w:cs="Arial"/>
                <w:sz w:val="20"/>
                <w:szCs w:val="20"/>
              </w:rPr>
              <w:t>There is a weak or inconsistent, but generally negative association between the policy option and the Sustainability Objectives.</w:t>
            </w:r>
          </w:p>
        </w:tc>
      </w:tr>
      <w:tr w:rsidR="00176FA1" w:rsidTr="00012BA3">
        <w:tc>
          <w:tcPr>
            <w:tcW w:w="1172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FA1" w:rsidRPr="00176FA1" w:rsidRDefault="00176FA1" w:rsidP="00012BA3">
            <w:pPr>
              <w:jc w:val="center"/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6FA1"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--</w:t>
            </w:r>
          </w:p>
        </w:tc>
        <w:tc>
          <w:tcPr>
            <w:tcW w:w="3828" w:type="pct"/>
            <w:shd w:val="clear" w:color="auto" w:fill="auto"/>
          </w:tcPr>
          <w:p w:rsidR="00176FA1" w:rsidRPr="00176FA1" w:rsidRDefault="00176FA1" w:rsidP="00012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FA1">
              <w:rPr>
                <w:rFonts w:ascii="Arial" w:hAnsi="Arial" w:cs="Arial"/>
                <w:sz w:val="20"/>
                <w:szCs w:val="20"/>
              </w:rPr>
              <w:t>There is a generally consistent strong negative association between the policy option and the Sustainability Objectives.</w:t>
            </w:r>
          </w:p>
        </w:tc>
      </w:tr>
      <w:tr w:rsidR="00176FA1" w:rsidTr="00012BA3">
        <w:tc>
          <w:tcPr>
            <w:tcW w:w="1172" w:type="pct"/>
            <w:shd w:val="clear" w:color="auto" w:fill="FFFF00"/>
            <w:vAlign w:val="center"/>
          </w:tcPr>
          <w:p w:rsidR="00176FA1" w:rsidRPr="00176FA1" w:rsidRDefault="00176FA1" w:rsidP="00012BA3">
            <w:pPr>
              <w:jc w:val="center"/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76FA1"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  <w:tc>
          <w:tcPr>
            <w:tcW w:w="3828" w:type="pct"/>
            <w:shd w:val="clear" w:color="auto" w:fill="auto"/>
          </w:tcPr>
          <w:p w:rsidR="00176FA1" w:rsidRPr="00176FA1" w:rsidRDefault="00176FA1" w:rsidP="00012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FA1">
              <w:rPr>
                <w:rFonts w:ascii="Arial" w:hAnsi="Arial" w:cs="Arial"/>
                <w:sz w:val="20"/>
                <w:szCs w:val="20"/>
              </w:rPr>
              <w:t>The association between the policy option and the Sustainability Objectives is uncertain, may be used in association with other symbols to indicate a degree of uncertainty in the conclusion</w:t>
            </w:r>
          </w:p>
        </w:tc>
      </w:tr>
    </w:tbl>
    <w:p w:rsidR="00176FA1" w:rsidRDefault="00176F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242"/>
        <w:gridCol w:w="6046"/>
      </w:tblGrid>
      <w:tr w:rsidR="00176FA1" w:rsidTr="00176FA1">
        <w:tc>
          <w:tcPr>
            <w:tcW w:w="5000" w:type="pct"/>
            <w:gridSpan w:val="3"/>
          </w:tcPr>
          <w:p w:rsidR="00176FA1" w:rsidRPr="00C976C6" w:rsidRDefault="00176FA1" w:rsidP="00012BA3">
            <w:pPr>
              <w:pStyle w:val="tableHeading"/>
              <w:rPr>
                <w:bCs/>
                <w:sz w:val="24"/>
              </w:rPr>
            </w:pPr>
          </w:p>
        </w:tc>
      </w:tr>
      <w:tr w:rsidR="00176FA1" w:rsidTr="00504E06">
        <w:tc>
          <w:tcPr>
            <w:tcW w:w="1117" w:type="pct"/>
            <w:vAlign w:val="bottom"/>
          </w:tcPr>
          <w:p w:rsidR="00176FA1" w:rsidRDefault="00176FA1" w:rsidP="00012BA3">
            <w:pPr>
              <w:pStyle w:val="tableHeading"/>
              <w:rPr>
                <w:bCs/>
                <w:sz w:val="20"/>
              </w:rPr>
            </w:pPr>
            <w:r>
              <w:rPr>
                <w:bCs/>
                <w:sz w:val="20"/>
              </w:rPr>
              <w:t>SA Objective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:rsidR="00176FA1" w:rsidRDefault="00504E06" w:rsidP="00012BA3">
            <w:pPr>
              <w:pStyle w:val="tableHeading"/>
              <w:rPr>
                <w:sz w:val="20"/>
              </w:rPr>
            </w:pPr>
            <w:r>
              <w:rPr>
                <w:sz w:val="20"/>
              </w:rPr>
              <w:t>Sum</w:t>
            </w:r>
            <w:bookmarkStart w:id="0" w:name="_GoBack"/>
            <w:bookmarkEnd w:id="0"/>
            <w:r w:rsidR="00176FA1">
              <w:rPr>
                <w:sz w:val="20"/>
              </w:rPr>
              <w:t>mary</w:t>
            </w:r>
          </w:p>
        </w:tc>
        <w:tc>
          <w:tcPr>
            <w:tcW w:w="3331" w:type="pct"/>
          </w:tcPr>
          <w:p w:rsidR="00176FA1" w:rsidRDefault="00176FA1" w:rsidP="00012BA3">
            <w:pPr>
              <w:pStyle w:val="tableHeading"/>
              <w:rPr>
                <w:sz w:val="20"/>
              </w:rPr>
            </w:pPr>
            <w:r>
              <w:rPr>
                <w:sz w:val="20"/>
              </w:rPr>
              <w:t>Commentary</w:t>
            </w:r>
          </w:p>
        </w:tc>
      </w:tr>
      <w:tr w:rsidR="00176FA1" w:rsidTr="00504E06">
        <w:tc>
          <w:tcPr>
            <w:tcW w:w="1117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 xml:space="preserve">1. Economically viable agriculture and forestry sectors that are contributing to conserving and enhancing landscape, biodiversity and community </w:t>
            </w:r>
            <w:proofErr w:type="spellStart"/>
            <w:r>
              <w:rPr>
                <w:sz w:val="20"/>
              </w:rPr>
              <w:t>well being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FA1" w:rsidRDefault="00176FA1" w:rsidP="00012BA3">
            <w:pPr>
              <w:pStyle w:val="tableCell"/>
              <w:jc w:val="center"/>
              <w:rPr>
                <w:sz w:val="20"/>
              </w:rPr>
            </w:pPr>
          </w:p>
        </w:tc>
        <w:tc>
          <w:tcPr>
            <w:tcW w:w="3331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</w:p>
        </w:tc>
      </w:tr>
      <w:tr w:rsidR="00176FA1" w:rsidTr="00504E06">
        <w:tc>
          <w:tcPr>
            <w:tcW w:w="1117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>2. Locate developments so as to minimise the demand for travel, especially by private car.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FA1" w:rsidRDefault="00176FA1" w:rsidP="00012BA3">
            <w:pPr>
              <w:pStyle w:val="tableCell"/>
              <w:jc w:val="center"/>
              <w:rPr>
                <w:sz w:val="20"/>
              </w:rPr>
            </w:pPr>
          </w:p>
        </w:tc>
        <w:tc>
          <w:tcPr>
            <w:tcW w:w="3331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</w:p>
        </w:tc>
      </w:tr>
      <w:tr w:rsidR="00176FA1" w:rsidTr="00504E06">
        <w:tc>
          <w:tcPr>
            <w:tcW w:w="1117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 xml:space="preserve">3. Conserve and enhance </w:t>
            </w:r>
            <w:r>
              <w:rPr>
                <w:sz w:val="20"/>
              </w:rPr>
              <w:lastRenderedPageBreak/>
              <w:t>landscapes, townscapes and seascapes, and all their components (including the built environment and archaeology) with reference to the special qualities of the National Park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FA1" w:rsidRDefault="00176FA1" w:rsidP="00012BA3">
            <w:pPr>
              <w:pStyle w:val="tableCell"/>
              <w:jc w:val="center"/>
              <w:rPr>
                <w:sz w:val="20"/>
              </w:rPr>
            </w:pPr>
          </w:p>
        </w:tc>
        <w:tc>
          <w:tcPr>
            <w:tcW w:w="3331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</w:p>
        </w:tc>
      </w:tr>
      <w:tr w:rsidR="00176FA1" w:rsidTr="00504E06">
        <w:tc>
          <w:tcPr>
            <w:tcW w:w="1117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lastRenderedPageBreak/>
              <w:t>4. Increase the number of residents and visitors taking part in physical forms of recreation (especially walking and cycling) and volunteering opportunities.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176FA1" w:rsidRDefault="00176FA1" w:rsidP="00012BA3">
            <w:pPr>
              <w:pStyle w:val="tableCell"/>
              <w:jc w:val="center"/>
              <w:rPr>
                <w:sz w:val="20"/>
              </w:rPr>
            </w:pPr>
          </w:p>
        </w:tc>
        <w:tc>
          <w:tcPr>
            <w:tcW w:w="3331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</w:p>
        </w:tc>
      </w:tr>
      <w:tr w:rsidR="00176FA1" w:rsidTr="00504E06">
        <w:tc>
          <w:tcPr>
            <w:tcW w:w="1117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>5. Increase the number of visitors using the National Park outside the peak visitor season.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FA1" w:rsidRDefault="00176FA1" w:rsidP="00012BA3">
            <w:pPr>
              <w:pStyle w:val="tableCell"/>
              <w:jc w:val="center"/>
              <w:rPr>
                <w:sz w:val="20"/>
              </w:rPr>
            </w:pPr>
          </w:p>
        </w:tc>
        <w:tc>
          <w:tcPr>
            <w:tcW w:w="3331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</w:p>
        </w:tc>
      </w:tr>
      <w:tr w:rsidR="00176FA1" w:rsidTr="00504E06">
        <w:tc>
          <w:tcPr>
            <w:tcW w:w="1117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>6. Manage the effects of climate change with particular reference to the risk of flooding; the effect on biodiversity; public health.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FA1" w:rsidRDefault="00176FA1" w:rsidP="00012BA3">
            <w:pPr>
              <w:pStyle w:val="tableCell"/>
              <w:jc w:val="center"/>
              <w:rPr>
                <w:sz w:val="20"/>
              </w:rPr>
            </w:pPr>
          </w:p>
        </w:tc>
        <w:tc>
          <w:tcPr>
            <w:tcW w:w="3331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</w:p>
        </w:tc>
      </w:tr>
      <w:tr w:rsidR="00176FA1" w:rsidTr="00504E06">
        <w:tc>
          <w:tcPr>
            <w:tcW w:w="1117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>7. Reduce factors contributing to climate change.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FA1" w:rsidRDefault="00176FA1" w:rsidP="00012BA3">
            <w:pPr>
              <w:pStyle w:val="tableCell"/>
              <w:jc w:val="center"/>
              <w:rPr>
                <w:sz w:val="20"/>
              </w:rPr>
            </w:pPr>
          </w:p>
        </w:tc>
        <w:tc>
          <w:tcPr>
            <w:tcW w:w="3331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</w:p>
        </w:tc>
      </w:tr>
      <w:tr w:rsidR="00176FA1" w:rsidTr="00504E06">
        <w:tc>
          <w:tcPr>
            <w:tcW w:w="1117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>8. Maximise the contribution of the limited opportunities for development to sustaining local communities.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FA1" w:rsidRDefault="00176FA1" w:rsidP="00012BA3">
            <w:pPr>
              <w:pStyle w:val="tableCell"/>
              <w:jc w:val="center"/>
              <w:rPr>
                <w:sz w:val="20"/>
              </w:rPr>
            </w:pPr>
          </w:p>
        </w:tc>
        <w:tc>
          <w:tcPr>
            <w:tcW w:w="3331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</w:p>
        </w:tc>
      </w:tr>
      <w:tr w:rsidR="00176FA1" w:rsidTr="00504E06">
        <w:tc>
          <w:tcPr>
            <w:tcW w:w="1117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 xml:space="preserve">9. Encourage access for all to the National Park, reflecting the social mix of society. 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176FA1" w:rsidRDefault="00176FA1" w:rsidP="00012BA3">
            <w:pPr>
              <w:pStyle w:val="tableCell"/>
              <w:jc w:val="center"/>
              <w:rPr>
                <w:sz w:val="20"/>
              </w:rPr>
            </w:pPr>
          </w:p>
        </w:tc>
        <w:tc>
          <w:tcPr>
            <w:tcW w:w="3331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</w:p>
        </w:tc>
      </w:tr>
      <w:tr w:rsidR="00176FA1" w:rsidTr="00504E06">
        <w:tc>
          <w:tcPr>
            <w:tcW w:w="1117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 xml:space="preserve">10. Maintain the cultural </w:t>
            </w:r>
            <w:r>
              <w:rPr>
                <w:sz w:val="20"/>
              </w:rPr>
              <w:lastRenderedPageBreak/>
              <w:t>distinctiveness of communities.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176FA1" w:rsidRDefault="00176FA1" w:rsidP="00012BA3">
            <w:pPr>
              <w:pStyle w:val="tableCell"/>
              <w:jc w:val="center"/>
              <w:rPr>
                <w:sz w:val="20"/>
              </w:rPr>
            </w:pPr>
          </w:p>
        </w:tc>
        <w:tc>
          <w:tcPr>
            <w:tcW w:w="3331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</w:p>
        </w:tc>
      </w:tr>
      <w:tr w:rsidR="00176FA1" w:rsidTr="00504E06">
        <w:tc>
          <w:tcPr>
            <w:tcW w:w="1117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lastRenderedPageBreak/>
              <w:t>11. The adverse effects of minerals exploitation in the National Park decline from the present level and the potential biodiversity and landscape gains of former minerals sites are realised.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176FA1" w:rsidRDefault="00176FA1" w:rsidP="00012BA3">
            <w:pPr>
              <w:pStyle w:val="tableCell"/>
              <w:jc w:val="center"/>
              <w:rPr>
                <w:sz w:val="20"/>
              </w:rPr>
            </w:pPr>
          </w:p>
        </w:tc>
        <w:tc>
          <w:tcPr>
            <w:tcW w:w="3331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</w:p>
        </w:tc>
      </w:tr>
      <w:tr w:rsidR="00176FA1" w:rsidTr="00504E06">
        <w:tc>
          <w:tcPr>
            <w:tcW w:w="1117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>12. Reduce the negative impacts of waste.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176FA1" w:rsidRDefault="00176FA1" w:rsidP="00012BA3">
            <w:pPr>
              <w:pStyle w:val="tableCell"/>
              <w:jc w:val="center"/>
              <w:rPr>
                <w:sz w:val="20"/>
              </w:rPr>
            </w:pPr>
          </w:p>
        </w:tc>
        <w:tc>
          <w:tcPr>
            <w:tcW w:w="3331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</w:p>
        </w:tc>
      </w:tr>
      <w:tr w:rsidR="00176FA1" w:rsidTr="00504E06">
        <w:tc>
          <w:tcPr>
            <w:tcW w:w="1117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>13. Community facilities (including health &amp; social care facilities, social facilities and retail provision) continue to meet the needs of the National Park population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FA1" w:rsidRDefault="00176FA1" w:rsidP="00012BA3">
            <w:pPr>
              <w:pStyle w:val="tableCell"/>
              <w:jc w:val="center"/>
              <w:rPr>
                <w:sz w:val="20"/>
              </w:rPr>
            </w:pPr>
          </w:p>
        </w:tc>
        <w:tc>
          <w:tcPr>
            <w:tcW w:w="3331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</w:p>
        </w:tc>
      </w:tr>
      <w:tr w:rsidR="00176FA1" w:rsidTr="00504E06">
        <w:tc>
          <w:tcPr>
            <w:tcW w:w="1117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>14. Maintain and enhance biodiversity both within and outside designated sites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176FA1" w:rsidRDefault="00176FA1" w:rsidP="00012BA3">
            <w:pPr>
              <w:pStyle w:val="tableCell"/>
              <w:jc w:val="center"/>
              <w:rPr>
                <w:sz w:val="20"/>
              </w:rPr>
            </w:pPr>
          </w:p>
        </w:tc>
        <w:tc>
          <w:tcPr>
            <w:tcW w:w="3331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</w:p>
        </w:tc>
      </w:tr>
      <w:tr w:rsidR="00176FA1" w:rsidTr="00504E06">
        <w:tc>
          <w:tcPr>
            <w:tcW w:w="1117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  <w:r>
              <w:rPr>
                <w:sz w:val="20"/>
              </w:rPr>
              <w:t>15. Promote sustainable use of, and maintain and enhance the quality of, inland and coastal waters.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FA1" w:rsidRDefault="00176FA1" w:rsidP="00012BA3">
            <w:pPr>
              <w:pStyle w:val="tableCell"/>
              <w:jc w:val="center"/>
              <w:rPr>
                <w:sz w:val="20"/>
              </w:rPr>
            </w:pPr>
          </w:p>
        </w:tc>
        <w:tc>
          <w:tcPr>
            <w:tcW w:w="3331" w:type="pct"/>
          </w:tcPr>
          <w:p w:rsidR="00176FA1" w:rsidRDefault="00176FA1" w:rsidP="00012BA3">
            <w:pPr>
              <w:pStyle w:val="tableCell"/>
              <w:rPr>
                <w:sz w:val="20"/>
              </w:rPr>
            </w:pPr>
          </w:p>
        </w:tc>
      </w:tr>
      <w:tr w:rsidR="00176FA1" w:rsidTr="00504E06">
        <w:tc>
          <w:tcPr>
            <w:tcW w:w="1117" w:type="pct"/>
          </w:tcPr>
          <w:p w:rsidR="00176FA1" w:rsidRDefault="005B188D" w:rsidP="005B188D">
            <w:pPr>
              <w:pStyle w:val="tableHeading"/>
              <w:rPr>
                <w:bCs/>
                <w:sz w:val="20"/>
              </w:rPr>
            </w:pPr>
            <w:r>
              <w:rPr>
                <w:bCs/>
                <w:sz w:val="20"/>
              </w:rPr>
              <w:t>Overall Sustainability Appraisal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176FA1" w:rsidRPr="00BA0853" w:rsidRDefault="00176FA1" w:rsidP="00012BA3">
            <w:pPr>
              <w:pStyle w:val="tableHeading"/>
              <w:jc w:val="center"/>
              <w:rPr>
                <w:bCs/>
              </w:rPr>
            </w:pPr>
          </w:p>
        </w:tc>
        <w:tc>
          <w:tcPr>
            <w:tcW w:w="3331" w:type="pct"/>
          </w:tcPr>
          <w:p w:rsidR="00176FA1" w:rsidRDefault="00176FA1" w:rsidP="00012BA3">
            <w:pPr>
              <w:pStyle w:val="tableHeading"/>
              <w:rPr>
                <w:bCs/>
                <w:sz w:val="20"/>
              </w:rPr>
            </w:pPr>
          </w:p>
        </w:tc>
      </w:tr>
      <w:tr w:rsidR="00176FA1" w:rsidTr="00176FA1">
        <w:tc>
          <w:tcPr>
            <w:tcW w:w="1117" w:type="pct"/>
          </w:tcPr>
          <w:p w:rsidR="00176FA1" w:rsidRDefault="005B188D" w:rsidP="00012BA3">
            <w:pPr>
              <w:pStyle w:val="tableHeading"/>
              <w:rPr>
                <w:bCs/>
                <w:sz w:val="20"/>
              </w:rPr>
            </w:pPr>
            <w:r>
              <w:rPr>
                <w:bCs/>
                <w:sz w:val="20"/>
              </w:rPr>
              <w:t>Is the site acceptable for development after Sustainability Appraisal? (Yes/No)</w:t>
            </w:r>
          </w:p>
        </w:tc>
        <w:tc>
          <w:tcPr>
            <w:tcW w:w="3883" w:type="pct"/>
            <w:gridSpan w:val="2"/>
          </w:tcPr>
          <w:p w:rsidR="00176FA1" w:rsidRDefault="00176FA1" w:rsidP="00012BA3">
            <w:pPr>
              <w:pStyle w:val="tableHeading"/>
              <w:ind w:left="0"/>
              <w:rPr>
                <w:bCs/>
                <w:sz w:val="20"/>
              </w:rPr>
            </w:pPr>
          </w:p>
        </w:tc>
      </w:tr>
    </w:tbl>
    <w:p w:rsidR="00176FA1" w:rsidRDefault="00176FA1"/>
    <w:sectPr w:rsidR="00176FA1" w:rsidSect="00176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A1"/>
    <w:rsid w:val="00176FA1"/>
    <w:rsid w:val="002B2518"/>
    <w:rsid w:val="0044552E"/>
    <w:rsid w:val="00504E06"/>
    <w:rsid w:val="005161E5"/>
    <w:rsid w:val="005B188D"/>
    <w:rsid w:val="00713DEA"/>
    <w:rsid w:val="007A6587"/>
    <w:rsid w:val="00CA2314"/>
    <w:rsid w:val="00D154DF"/>
    <w:rsid w:val="00D2376C"/>
    <w:rsid w:val="00E11DD2"/>
    <w:rsid w:val="00F4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ll">
    <w:name w:val="tableCell"/>
    <w:basedOn w:val="Normal"/>
    <w:rsid w:val="00176FA1"/>
    <w:pPr>
      <w:spacing w:before="60" w:after="60" w:line="240" w:lineRule="auto"/>
      <w:ind w:left="57" w:right="57"/>
    </w:pPr>
    <w:rPr>
      <w:rFonts w:ascii="Arial" w:eastAsia="Times New Roman" w:hAnsi="Arial" w:cs="Times New Roman"/>
      <w:snapToGrid w:val="0"/>
      <w:szCs w:val="20"/>
    </w:rPr>
  </w:style>
  <w:style w:type="paragraph" w:customStyle="1" w:styleId="tableHeading">
    <w:name w:val="tableHeading"/>
    <w:basedOn w:val="Normal"/>
    <w:rsid w:val="00176FA1"/>
    <w:pPr>
      <w:keepNext/>
      <w:spacing w:before="60" w:after="60" w:line="240" w:lineRule="auto"/>
      <w:ind w:left="57" w:right="57"/>
    </w:pPr>
    <w:rPr>
      <w:rFonts w:ascii="Arial" w:eastAsia="Times New Roman" w:hAnsi="Arial" w:cs="Times New Roman"/>
      <w:b/>
      <w:snapToGrid w:val="0"/>
      <w:szCs w:val="20"/>
    </w:rPr>
  </w:style>
  <w:style w:type="table" w:styleId="TableGrid">
    <w:name w:val="Table Grid"/>
    <w:basedOn w:val="TableNormal"/>
    <w:uiPriority w:val="59"/>
    <w:rsid w:val="007A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ll">
    <w:name w:val="tableCell"/>
    <w:basedOn w:val="Normal"/>
    <w:rsid w:val="00176FA1"/>
    <w:pPr>
      <w:spacing w:before="60" w:after="60" w:line="240" w:lineRule="auto"/>
      <w:ind w:left="57" w:right="57"/>
    </w:pPr>
    <w:rPr>
      <w:rFonts w:ascii="Arial" w:eastAsia="Times New Roman" w:hAnsi="Arial" w:cs="Times New Roman"/>
      <w:snapToGrid w:val="0"/>
      <w:szCs w:val="20"/>
    </w:rPr>
  </w:style>
  <w:style w:type="paragraph" w:customStyle="1" w:styleId="tableHeading">
    <w:name w:val="tableHeading"/>
    <w:basedOn w:val="Normal"/>
    <w:rsid w:val="00176FA1"/>
    <w:pPr>
      <w:keepNext/>
      <w:spacing w:before="60" w:after="60" w:line="240" w:lineRule="auto"/>
      <w:ind w:left="57" w:right="57"/>
    </w:pPr>
    <w:rPr>
      <w:rFonts w:ascii="Arial" w:eastAsia="Times New Roman" w:hAnsi="Arial" w:cs="Times New Roman"/>
      <w:b/>
      <w:snapToGrid w:val="0"/>
      <w:szCs w:val="20"/>
    </w:rPr>
  </w:style>
  <w:style w:type="table" w:styleId="TableGrid">
    <w:name w:val="Table Grid"/>
    <w:basedOn w:val="TableNormal"/>
    <w:uiPriority w:val="59"/>
    <w:rsid w:val="007A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Barlow</dc:creator>
  <cp:lastModifiedBy>Jennifer Nunnery</cp:lastModifiedBy>
  <cp:revision>13</cp:revision>
  <dcterms:created xsi:type="dcterms:W3CDTF">2017-02-06T08:32:00Z</dcterms:created>
  <dcterms:modified xsi:type="dcterms:W3CDTF">2017-05-08T10:07:00Z</dcterms:modified>
</cp:coreProperties>
</file>